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8229600" cy="452628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26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r w:rsidDel="00000000" w:rsidR="00000000" w:rsidRPr="00000000">
        <w:rPr>
          <w:rtl w:val="0"/>
        </w:rPr>
        <w:t xml:space="preserve">1 Proyecto_IA_Universidad_V_Final.ipynb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Inicialmente debemos ejecutar el fragmento de código del Proyecto_IA_Universidad_V_Final.ipynb para clonar y descargar las librerías necesarias del proyecto IA HEROEXME.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Colab es un entorno de notebook en la nube, que se utiliza para evitar las limitaciones de hardware local, proporcionando un entorno potente y accesible para el procesamiento de IA.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Permite la instalación fácil de las dependencias necesarias y el acceso a hardware de alto rendimiento para la inferencia de modelos.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Ente enlace le permite acceder a Colab, solo tiene que registrarse </w:t>
      </w:r>
      <w:hyperlink r:id="rId7">
        <w:r w:rsidDel="00000000" w:rsidR="00000000" w:rsidRPr="00000000">
          <w:rPr>
            <w:color w:val="0000ff"/>
            <w:u w:val="single"/>
            <w:rtl w:val="0"/>
          </w:rPr>
          <w:t xml:space="preserve">https://colab.research.google.com/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  <w:t xml:space="preserve">El siguiente paso sería seleccionar File y cargar el notebook en este caso se cargar el archivo </w:t>
      </w:r>
      <w:r w:rsidDel="00000000" w:rsidR="00000000" w:rsidRPr="00000000">
        <w:rPr>
          <w:b w:val="1"/>
          <w:rtl w:val="0"/>
        </w:rPr>
        <w:t xml:space="preserve">Proyecto_IA_Universidad_V_Final.ipynb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2248095" cy="35055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35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3139712" cy="237002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37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0" distT="0" distL="0" distR="0">
            <wp:extent cx="3705408" cy="2277129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408" cy="2277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Una vez se carga el archivo ubique el mouse en la línea 1 del notebook (observe la fecha) y click para ejecutar el fragmento del código.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4945809" cy="899238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89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7087214" cy="3497883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7214" cy="3497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Salida del script 8 Minutos mas o menos toma la configuración de los recursos requerimos para el modelo y sus dependencias.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Herramientas tecnológicas utilizadas.</w:t>
      </w:r>
    </w:p>
    <w:p w:rsidR="00000000" w:rsidDel="00000000" w:rsidP="00000000" w:rsidRDefault="00000000" w:rsidRPr="00000000" w14:paraId="00000015">
      <w:pPr>
        <w:spacing w:after="0" w:line="240" w:lineRule="auto"/>
        <w:rPr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ONNX Runtime es un motor de inferencia de modelos de aprendizaje </w:t>
      </w:r>
    </w:p>
    <w:p w:rsidR="00000000" w:rsidDel="00000000" w:rsidP="00000000" w:rsidRDefault="00000000" w:rsidRPr="00000000" w14:paraId="00000016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automático que soporta modelos en el formato Open Neural Network Exchange (ONNX).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rPr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Flask es un micro framework de Python muy utilizado para el desarrollo de </w:t>
      </w:r>
    </w:p>
    <w:p w:rsidR="00000000" w:rsidDel="00000000" w:rsidP="00000000" w:rsidRDefault="00000000" w:rsidRPr="00000000" w14:paraId="00000019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aplicaciones web. Es ligero y modular, lo que lo hace adaptable para diversos tipos de proyectos.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rPr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Colab es un entorno de notebook en la nube que permite la ejecución de código </w:t>
      </w:r>
    </w:p>
    <w:p w:rsidR="00000000" w:rsidDel="00000000" w:rsidP="00000000" w:rsidRDefault="00000000" w:rsidRPr="00000000" w14:paraId="0000001C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de Python en servidores en la nube, con acceso gratuito a GPUs y TPUs.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rPr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Keras es una API de alto nivel para la construcción y entrenamiento de modelos de </w:t>
      </w:r>
    </w:p>
    <w:p w:rsidR="00000000" w:rsidDel="00000000" w:rsidP="00000000" w:rsidRDefault="00000000" w:rsidRPr="00000000" w14:paraId="0000001F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aprendizaje profundo, que se ejecuta sobre TensorFlow, un framework más extenso que </w:t>
      </w:r>
    </w:p>
    <w:p w:rsidR="00000000" w:rsidDel="00000000" w:rsidP="00000000" w:rsidRDefault="00000000" w:rsidRPr="00000000" w14:paraId="00000020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proporciona herramientas para trabajar con redes neuronales profundas.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rPr/>
      </w:pPr>
      <w:r w:rsidDel="00000000" w:rsidR="00000000" w:rsidRPr="00000000">
        <w:rPr>
          <w:b w:val="1"/>
          <w:rtl w:val="0"/>
        </w:rPr>
        <w:t xml:space="preserve">Descripción</w:t>
      </w:r>
      <w:r w:rsidDel="00000000" w:rsidR="00000000" w:rsidRPr="00000000">
        <w:rPr>
          <w:rtl w:val="0"/>
        </w:rPr>
        <w:t xml:space="preserve">: NVIDIA CUDA Toolkit proporciona una plataforma de desarrollo para crear </w:t>
      </w:r>
    </w:p>
    <w:p w:rsidR="00000000" w:rsidDel="00000000" w:rsidP="00000000" w:rsidRDefault="00000000" w:rsidRPr="00000000" w14:paraId="00000023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aplicaciones de alto rendimiento que pueden ejecutarse en GPUs NVIDIA.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conclusión</w:t>
      </w:r>
    </w:p>
    <w:p w:rsidR="00000000" w:rsidDel="00000000" w:rsidP="00000000" w:rsidRDefault="00000000" w:rsidRPr="00000000" w14:paraId="00000026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Estas herramientas y tecnologías no solo son relevantes para los ingenieros informáticos interesados en la IA, </w:t>
      </w:r>
    </w:p>
    <w:p w:rsidR="00000000" w:rsidDel="00000000" w:rsidP="00000000" w:rsidRDefault="00000000" w:rsidRPr="00000000" w14:paraId="00000027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sino que también son fundamentales para el éxito de proyectos complejos que involucran el procesamiento </w:t>
      </w:r>
    </w:p>
    <w:p w:rsidR="00000000" w:rsidDel="00000000" w:rsidP="00000000" w:rsidRDefault="00000000" w:rsidRPr="00000000" w14:paraId="00000028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en tiempo real de datos visuales y multimedia. Su integración y uso adecuado han sido clave para permitir </w:t>
      </w:r>
    </w:p>
    <w:p w:rsidR="00000000" w:rsidDel="00000000" w:rsidP="00000000" w:rsidRDefault="00000000" w:rsidRPr="00000000" w14:paraId="00000029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la funcionalidad avanzada de nuestro proyecto de superposición de rostros en videos.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r w:rsidDel="00000000" w:rsidR="00000000" w:rsidRPr="00000000">
        <w:rPr>
          <w:rtl w:val="0"/>
        </w:rPr>
        <w:t xml:space="preserve">2 Ejecucion del siguiente fragment para obtener la aplicación web que permite la interacion del usuarion y la IA. </w:t>
      </w:r>
    </w:p>
    <w:p w:rsidR="00000000" w:rsidDel="00000000" w:rsidP="00000000" w:rsidRDefault="00000000" w:rsidRPr="00000000" w14:paraId="0000002F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7529212" cy="1828958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9212" cy="1828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0"/>
          <w:szCs w:val="20"/>
        </w:rPr>
        <w:drawing>
          <wp:inline distB="0" distT="0" distL="0" distR="0">
            <wp:extent cx="7681626" cy="166892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81626" cy="166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8184589" cy="1089754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84589" cy="1089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0"/>
          <w:szCs w:val="20"/>
        </w:rPr>
        <w:drawing>
          <wp:inline distB="0" distT="0" distL="0" distR="0">
            <wp:extent cx="5136325" cy="853514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853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212121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0"/>
          <w:szCs w:val="20"/>
        </w:rPr>
        <w:drawing>
          <wp:inline distB="0" distT="0" distL="0" distR="0">
            <wp:extent cx="7513971" cy="3429297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3971" cy="3429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13716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12121"/>
          <w:sz w:val="20"/>
          <w:szCs w:val="20"/>
        </w:rPr>
        <w:drawing>
          <wp:inline distB="0" distT="0" distL="0" distR="0">
            <wp:extent cx="5136325" cy="853514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853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472186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21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450977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09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4733925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294322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3860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2150745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50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1909445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09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91059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10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8229600" cy="102616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26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631668" cy="1417443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417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481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2835"/>
        <w:tblGridChange w:id="0">
          <w:tblGrid>
            <w:gridCol w:w="1980"/>
            <w:gridCol w:w="283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/>
            </w:pPr>
            <w:r w:rsidDel="00000000" w:rsidR="00000000" w:rsidRPr="00000000">
              <w:rPr>
                <w:rtl w:val="0"/>
              </w:rPr>
              <w:t xml:space="preserve">Leandro</w:t>
            </w:r>
          </w:p>
        </w:tc>
        <w:tc>
          <w:tcPr/>
          <w:p w:rsidR="00000000" w:rsidDel="00000000" w:rsidP="00000000" w:rsidRDefault="00000000" w:rsidRPr="00000000" w14:paraId="0000006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/>
            </w:pPr>
            <w:r w:rsidDel="00000000" w:rsidR="00000000" w:rsidRPr="00000000">
              <w:rPr/>
              <w:drawing>
                <wp:inline distB="0" distT="0" distL="114300" distR="114300">
                  <wp:extent cx="1066800" cy="609600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1.png"/><Relationship Id="rId21" Type="http://schemas.openxmlformats.org/officeDocument/2006/relationships/image" Target="media/image22.png"/><Relationship Id="rId24" Type="http://schemas.openxmlformats.org/officeDocument/2006/relationships/image" Target="media/image20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1.png"/><Relationship Id="rId25" Type="http://schemas.openxmlformats.org/officeDocument/2006/relationships/image" Target="media/image18.png"/><Relationship Id="rId28" Type="http://schemas.openxmlformats.org/officeDocument/2006/relationships/image" Target="media/image10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12.png"/><Relationship Id="rId7" Type="http://schemas.openxmlformats.org/officeDocument/2006/relationships/hyperlink" Target="https://colab.research.google.com/" TargetMode="External"/><Relationship Id="rId8" Type="http://schemas.openxmlformats.org/officeDocument/2006/relationships/image" Target="media/image6.png"/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17.png"/><Relationship Id="rId12" Type="http://schemas.openxmlformats.org/officeDocument/2006/relationships/image" Target="media/image4.png"/><Relationship Id="rId15" Type="http://schemas.openxmlformats.org/officeDocument/2006/relationships/image" Target="media/image14.png"/><Relationship Id="rId14" Type="http://schemas.openxmlformats.org/officeDocument/2006/relationships/image" Target="media/image8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19" Type="http://schemas.openxmlformats.org/officeDocument/2006/relationships/image" Target="media/image19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